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rPr>
          <w:rFonts w:ascii="Calibri" w:cs="Calibri" w:eastAsia="Calibri" w:hAnsi="Calibri"/>
          <w:b/>
          <w:bCs/>
          <w:sz w:val="52"/>
          <w:szCs w:val="52"/>
        </w:rPr>
        <w:t xml:space="preserve">Information Security Policy</w:t>
      </w:r>
    </w:p>
    <w:p>
      <w:pPr>
        <w:spacing w:after="240"/>
      </w:pPr>
      <w:r>
        <w:rPr>
          <w:rFonts w:ascii="Calibri" w:cs="Calibri" w:eastAsia="Calibri" w:hAnsi="Calibri"/>
          <w:color w:val="666666"/>
          <w:sz w:val="20"/>
          <w:szCs w:val="20"/>
        </w:rPr>
        <w:t xml:space="preserve">New Zealand edition · editable template · SecurityPolicy.com.au</w:t>
      </w:r>
    </w:p>
    <w:p>
      <w:pPr>
        <w:spacing w:after="240"/>
      </w:pPr>
      <w:r>
        <w:rPr>
          <w:rFonts w:ascii="Calibri" w:cs="Calibri" w:eastAsia="Calibri" w:hAnsi="Calibri"/>
          <w:sz w:val="22"/>
          <w:szCs w:val="22"/>
        </w:rPr>
        <w:t xml:space="preserve">This policy is adopted by </w:t>
      </w:r>
      <w:r>
        <w:rPr>
          <w:rFonts w:ascii="Calibri" w:cs="Calibri" w:eastAsia="Calibri" w:hAnsi="Calibri"/>
          <w:sz w:val="22"/>
          <w:szCs w:val="22"/>
          <w:highlight w:val="yellow"/>
          <w:highlightCs w:val="yellow"/>
        </w:rPr>
        <w:t xml:space="preserve">[organisation name]</w:t>
      </w:r>
      <w:r>
        <w:rPr>
          <w:rFonts w:ascii="Calibri" w:cs="Calibri" w:eastAsia="Calibri" w:hAnsi="Calibri"/>
          <w:sz w:val="22"/>
          <w:szCs w:val="22"/>
        </w:rPr>
        <w:t xml:space="preserve"> ("we", "us", "our").</w:t>
      </w:r>
    </w:p>
    <w:p>
      <w:pPr>
        <w:pStyle w:val="Heading1"/>
      </w:pPr>
      <w:r>
        <w:rPr>
          <w:rFonts w:ascii="Calibri" w:cs="Calibri" w:eastAsia="Calibri" w:hAnsi="Calibri"/>
          <w:b/>
          <w:bCs/>
          <w:sz w:val="28"/>
          <w:szCs w:val="28"/>
        </w:rPr>
        <w:t xml:space="preserve">Document control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shd w:fill="F4F5F7" w:val="clear"/>
            <w:tcMar>
              <w:top w:type="dxa" w:w="80"/>
              <w:left w:type="dxa" w:w="120"/>
              <w:bottom w:type="dxa" w:w="80"/>
              <w:right w:type="dxa" w:w="120"/>
            </w:tcMar>
          </w:tcPr>
          <w:p>
            <w:r>
              <w:rPr>
                <w:rFonts w:ascii="Calibri" w:cs="Calibri" w:eastAsia="Calibri" w:hAnsi="Calibri"/>
                <w:b/>
                <w:bCs/>
                <w:sz w:val="20"/>
                <w:szCs w:val="20"/>
              </w:rPr>
              <w:t xml:space="preserve">Policy owner</w:t>
            </w:r>
          </w:p>
        </w:tc>
        <w:tc>
          <w:tcPr>
            <w:tcW w:type="dxa" w:w="6760"/>
            <w:tcMar>
              <w:top w:type="dxa" w:w="80"/>
              <w:left w:type="dxa" w:w="120"/>
              <w:bottom w:type="dxa" w:w="80"/>
              <w:right w:type="dxa" w:w="120"/>
            </w:tcMar>
          </w:tcPr>
          <w:p>
            <w:r>
              <w:rPr>
                <w:rFonts w:ascii="Calibri" w:cs="Calibri" w:eastAsia="Calibri" w:hAnsi="Calibri"/>
                <w:sz w:val="20"/>
                <w:szCs w:val="20"/>
                <w:highlight w:val="yellow"/>
                <w:highlightCs w:val="yellow"/>
              </w:rPr>
              <w:t xml:space="preserve">[name and role]</w:t>
            </w:r>
          </w:p>
        </w:tc>
      </w:tr>
      <w:tr>
        <w:tc>
          <w:tcPr>
            <w:tcW w:type="dxa" w:w="2600"/>
            <w:shd w:fill="F4F5F7" w:val="clear"/>
            <w:tcMar>
              <w:top w:type="dxa" w:w="80"/>
              <w:left w:type="dxa" w:w="120"/>
              <w:bottom w:type="dxa" w:w="80"/>
              <w:right w:type="dxa" w:w="120"/>
            </w:tcMar>
          </w:tcPr>
          <w:p>
            <w:r>
              <w:rPr>
                <w:rFonts w:ascii="Calibri" w:cs="Calibri" w:eastAsia="Calibri" w:hAnsi="Calibri"/>
                <w:b/>
                <w:bCs/>
                <w:sz w:val="20"/>
                <w:szCs w:val="20"/>
              </w:rPr>
              <w:t xml:space="preserve">Approved by</w:t>
            </w:r>
          </w:p>
        </w:tc>
        <w:tc>
          <w:tcPr>
            <w:tcW w:type="dxa" w:w="6760"/>
            <w:tcMar>
              <w:top w:type="dxa" w:w="80"/>
              <w:left w:type="dxa" w:w="120"/>
              <w:bottom w:type="dxa" w:w="80"/>
              <w:right w:type="dxa" w:w="120"/>
            </w:tcMar>
          </w:tcPr>
          <w:p>
            <w:r>
              <w:rPr>
                <w:rFonts w:ascii="Calibri" w:cs="Calibri" w:eastAsia="Calibri" w:hAnsi="Calibri"/>
                <w:sz w:val="20"/>
                <w:szCs w:val="20"/>
                <w:highlight w:val="yellow"/>
                <w:highlightCs w:val="yellow"/>
              </w:rPr>
              <w:t xml:space="preserve">[owner, chief executive, board or delegated executive]</w:t>
            </w:r>
          </w:p>
        </w:tc>
      </w:tr>
      <w:tr>
        <w:tc>
          <w:tcPr>
            <w:tcW w:type="dxa" w:w="2600"/>
            <w:shd w:fill="F4F5F7" w:val="clear"/>
            <w:tcMar>
              <w:top w:type="dxa" w:w="80"/>
              <w:left w:type="dxa" w:w="120"/>
              <w:bottom w:type="dxa" w:w="80"/>
              <w:right w:type="dxa" w:w="120"/>
            </w:tcMar>
          </w:tcPr>
          <w:p>
            <w:r>
              <w:rPr>
                <w:rFonts w:ascii="Calibri" w:cs="Calibri" w:eastAsia="Calibri" w:hAnsi="Calibri"/>
                <w:b/>
                <w:bCs/>
                <w:sz w:val="20"/>
                <w:szCs w:val="20"/>
              </w:rPr>
              <w:t xml:space="preserve">Approval date</w:t>
            </w:r>
          </w:p>
        </w:tc>
        <w:tc>
          <w:tcPr>
            <w:tcW w:type="dxa" w:w="6760"/>
            <w:tcMar>
              <w:top w:type="dxa" w:w="80"/>
              <w:left w:type="dxa" w:w="120"/>
              <w:bottom w:type="dxa" w:w="80"/>
              <w:right w:type="dxa" w:w="120"/>
            </w:tcMar>
          </w:tcPr>
          <w:p>
            <w:r>
              <w:rPr>
                <w:rFonts w:ascii="Calibri" w:cs="Calibri" w:eastAsia="Calibri" w:hAnsi="Calibri"/>
                <w:sz w:val="20"/>
                <w:szCs w:val="20"/>
                <w:highlight w:val="yellow"/>
                <w:highlightCs w:val="yellow"/>
              </w:rPr>
              <w:t xml:space="preserve">[date]</w:t>
            </w:r>
          </w:p>
        </w:tc>
      </w:tr>
      <w:tr>
        <w:tc>
          <w:tcPr>
            <w:tcW w:type="dxa" w:w="2600"/>
            <w:shd w:fill="F4F5F7" w:val="clear"/>
            <w:tcMar>
              <w:top w:type="dxa" w:w="80"/>
              <w:left w:type="dxa" w:w="120"/>
              <w:bottom w:type="dxa" w:w="80"/>
              <w:right w:type="dxa" w:w="120"/>
            </w:tcMar>
          </w:tcPr>
          <w:p>
            <w:r>
              <w:rPr>
                <w:rFonts w:ascii="Calibri" w:cs="Calibri" w:eastAsia="Calibri" w:hAnsi="Calibri"/>
                <w:b/>
                <w:bCs/>
                <w:sz w:val="20"/>
                <w:szCs w:val="20"/>
              </w:rPr>
              <w:t xml:space="preserve">Next review</w:t>
            </w:r>
          </w:p>
        </w:tc>
        <w:tc>
          <w:tcPr>
            <w:tcW w:type="dxa" w:w="6760"/>
            <w:tcMar>
              <w:top w:type="dxa" w:w="80"/>
              <w:left w:type="dxa" w:w="120"/>
              <w:bottom w:type="dxa" w:w="80"/>
              <w:right w:type="dxa" w:w="120"/>
            </w:tcMar>
          </w:tcPr>
          <w:p>
            <w:r>
              <w:rPr>
                <w:rFonts w:ascii="Calibri" w:cs="Calibri" w:eastAsia="Calibri" w:hAnsi="Calibri"/>
                <w:sz w:val="20"/>
                <w:szCs w:val="20"/>
                <w:highlight w:val="yellow"/>
                <w:highlightCs w:val="yellow"/>
              </w:rPr>
              <w:t xml:space="preserve">[date, normally within 12 months]</w:t>
            </w:r>
          </w:p>
        </w:tc>
      </w:tr>
      <w:tr>
        <w:tc>
          <w:tcPr>
            <w:tcW w:type="dxa" w:w="2600"/>
            <w:shd w:fill="F4F5F7" w:val="clear"/>
            <w:tcMar>
              <w:top w:type="dxa" w:w="80"/>
              <w:left w:type="dxa" w:w="120"/>
              <w:bottom w:type="dxa" w:w="80"/>
              <w:right w:type="dxa" w:w="120"/>
            </w:tcMar>
          </w:tcPr>
          <w:p>
            <w:r>
              <w:rPr>
                <w:rFonts w:ascii="Calibri" w:cs="Calibri" w:eastAsia="Calibri" w:hAnsi="Calibri"/>
                <w:b/>
                <w:bCs/>
                <w:sz w:val="20"/>
                <w:szCs w:val="20"/>
              </w:rPr>
              <w:t xml:space="preserve">Version</w:t>
            </w:r>
          </w:p>
        </w:tc>
        <w:tc>
          <w:tcPr>
            <w:tcW w:type="dxa" w:w="6760"/>
            <w:tcMar>
              <w:top w:type="dxa" w:w="80"/>
              <w:left w:type="dxa" w:w="120"/>
              <w:bottom w:type="dxa" w:w="80"/>
              <w:right w:type="dxa" w:w="120"/>
            </w:tcMar>
          </w:tcPr>
          <w:p>
            <w:r>
              <w:rPr>
                <w:rFonts w:ascii="Calibri" w:cs="Calibri" w:eastAsia="Calibri" w:hAnsi="Calibri"/>
                <w:sz w:val="20"/>
                <w:szCs w:val="20"/>
                <w:highlight w:val="yellow"/>
                <w:highlightCs w:val="yellow"/>
              </w:rPr>
              <w:t xml:space="preserve">[1.0]</w:t>
            </w:r>
          </w:p>
        </w:tc>
      </w:tr>
    </w:tbl>
    <w:p>
      <w:pPr>
        <w:pStyle w:val="Heading1"/>
        <w:spacing w:before="320"/>
      </w:pPr>
      <w:r>
        <w:rPr>
          <w:rFonts w:ascii="Calibri" w:cs="Calibri" w:eastAsia="Calibri" w:hAnsi="Calibri"/>
          <w:b/>
          <w:bCs/>
          <w:sz w:val="28"/>
          <w:szCs w:val="28"/>
        </w:rPr>
        <w:t xml:space="preserve">How to complete this template</w:t>
      </w:r>
    </w:p>
    <w:p>
      <w:pPr>
        <w:spacing w:after="240"/>
      </w:pPr>
      <w:r>
        <w:rPr>
          <w:rFonts w:ascii="Calibri" w:cs="Calibri" w:eastAsia="Calibri" w:hAnsi="Calibri"/>
          <w:sz w:val="22"/>
          <w:szCs w:val="22"/>
        </w:rPr>
        <w:t xml:space="preserve">Work top to bottom and fill every yellow field. Delete any clause that does not reflect how your business actually operates — an auditor will ask you to demonstrate each claim. The full plain-English guide for every clause, with sources, lives at securitypolicy.com.au.</w:t>
      </w:r>
    </w:p>
    <w:p>
      <w:pPr>
        <w:pStyle w:val="Heading1"/>
      </w:pPr>
      <w:r>
        <w:rPr>
          <w:rFonts w:ascii="Calibri" w:cs="Calibri" w:eastAsia="Calibri" w:hAnsi="Calibri"/>
          <w:b/>
          <w:bCs/>
          <w:sz w:val="28"/>
          <w:szCs w:val="28"/>
        </w:rPr>
        <w:t xml:space="preserve">Policy</w:t>
      </w:r>
    </w:p>
    <w:p>
      <w:pPr>
        <w:pStyle w:val="Heading2"/>
        <w:spacing w:before="280"/>
      </w:pPr>
      <w:r>
        <w:rPr>
          <w:rFonts w:ascii="Calibri" w:cs="Calibri" w:eastAsia="Calibri" w:hAnsi="Calibri"/>
          <w:b/>
          <w:bCs/>
          <w:sz w:val="24"/>
          <w:szCs w:val="24"/>
        </w:rPr>
        <w:t xml:space="preserve">1. What is an information security policy, and what must it contain for a New Zealand business</w:t>
      </w:r>
    </w:p>
    <w:p>
      <w:pPr>
        <w:spacing w:after="120"/>
      </w:pPr>
      <w:r>
        <w:rPr>
          <w:rFonts w:ascii="Calibri" w:cs="Calibri" w:eastAsia="Calibri" w:hAnsi="Calibri"/>
          <w:i/>
          <w:iCs/>
          <w:color w:val="666666"/>
          <w:sz w:val="18"/>
          <w:szCs w:val="18"/>
        </w:rPr>
        <w:t xml:space="preserve">Drafted to answer: What is an information security policy, and what must it contain for a New Zealand business?</w:t>
      </w:r>
    </w:p>
    <w:p>
      <w:pPr>
        <w:spacing w:after="160"/>
      </w:pPr>
      <w:r>
        <w:rPr>
          <w:rFonts w:ascii="Calibri" w:cs="Calibri" w:eastAsia="Calibri" w:hAnsi="Calibri"/>
          <w:sz w:val="22"/>
          <w:szCs w:val="22"/>
        </w:rPr>
        <w:t xml:space="preserve">We protect information and systems in a manner proportionate to their sensitivity, business importance, foreseeable threats, legal requirements and potential harm. This policy applies to our people, information, systems, devices, premises, cloud services, suppliers and business processes. It defines mandatory safeguards, accountability, acceptable use, access, monitoring, incident response, exceptions and review requirements. Detailed internal security information is not published, but customers are provided with a clear external statement describing how their information is protected and how security concerns can be reported.</w:t>
      </w:r>
    </w:p>
    <w:p>
      <w:pPr>
        <w:pStyle w:val="Heading2"/>
        <w:spacing w:before="280"/>
      </w:pPr>
      <w:r>
        <w:rPr>
          <w:rFonts w:ascii="Calibri" w:cs="Calibri" w:eastAsia="Calibri" w:hAnsi="Calibri"/>
          <w:b/>
          <w:bCs/>
          <w:sz w:val="24"/>
          <w:szCs w:val="24"/>
        </w:rPr>
        <w:t xml:space="preserve">2. How should the policy define scope, roles and information classification</w:t>
      </w:r>
    </w:p>
    <w:p>
      <w:pPr>
        <w:spacing w:after="120"/>
      </w:pPr>
      <w:r>
        <w:rPr>
          <w:rFonts w:ascii="Calibri" w:cs="Calibri" w:eastAsia="Calibri" w:hAnsi="Calibri"/>
          <w:i/>
          <w:iCs/>
          <w:color w:val="666666"/>
          <w:sz w:val="18"/>
          <w:szCs w:val="18"/>
        </w:rPr>
        <w:t xml:space="preserve">Drafted to answer: How should the policy define scope, roles and information classification?</w:t>
      </w:r>
    </w:p>
    <w:p>
      <w:pPr>
        <w:spacing w:after="160"/>
      </w:pPr>
      <w:r>
        <w:rPr>
          <w:rFonts w:ascii="Calibri" w:cs="Calibri" w:eastAsia="Calibri" w:hAnsi="Calibri"/>
          <w:sz w:val="22"/>
          <w:szCs w:val="22"/>
        </w:rPr>
        <w:t xml:space="preserve">This policy applies to all employees, directors, contractors, temporary workers and third parties who access our information or systems. It covers information in electronic, verbal and physical form; company and personal devices used for work; offices and remote locations; applications, networks and cloud services; and outsourced processing. Information owners classify information as Public, Internal, Confidential or Restricted and apply the handling rules defined for each category. The policy owner, privacy officer, system owners, managers and users have the responsibilities assigned in this policy.</w:t>
      </w:r>
    </w:p>
    <w:p>
      <w:pPr>
        <w:pStyle w:val="Heading2"/>
        <w:spacing w:before="280"/>
      </w:pPr>
      <w:r>
        <w:rPr>
          <w:rFonts w:ascii="Calibri" w:cs="Calibri" w:eastAsia="Calibri" w:hAnsi="Calibri"/>
          <w:b/>
          <w:bCs/>
          <w:sz w:val="24"/>
          <w:szCs w:val="24"/>
        </w:rPr>
        <w:t xml:space="preserve">3. What are acceptable safeguards under IPP 5, and how do we turn 'reasonable steps' into concrete rules</w:t>
      </w:r>
    </w:p>
    <w:p>
      <w:pPr>
        <w:spacing w:after="120"/>
      </w:pPr>
      <w:r>
        <w:rPr>
          <w:rFonts w:ascii="Calibri" w:cs="Calibri" w:eastAsia="Calibri" w:hAnsi="Calibri"/>
          <w:i/>
          <w:iCs/>
          <w:color w:val="666666"/>
          <w:sz w:val="18"/>
          <w:szCs w:val="18"/>
        </w:rPr>
        <w:t xml:space="preserve">Drafted to answer: What are acceptable safeguards under IPP 5, and how do we turn 'reasonable steps' into concrete rules?</w:t>
      </w:r>
    </w:p>
    <w:p>
      <w:pPr>
        <w:spacing w:after="160"/>
      </w:pPr>
      <w:r>
        <w:rPr>
          <w:rFonts w:ascii="Calibri" w:cs="Calibri" w:eastAsia="Calibri" w:hAnsi="Calibri"/>
          <w:sz w:val="22"/>
          <w:szCs w:val="22"/>
        </w:rPr>
        <w:t xml:space="preserve">Security safeguards are selected according to information sensitivity, foreseeable threats, system exposure, business dependency and potential harm. At a minimum, in-scope systems must use supported software, timely security updates, multi-factor authentication for privileged and externally accessible accounts, unique credentials managed through an approved password manager, least-privilege access, protected and tested backups, appropriate encryption, security logging and incident reporting. Each control has a named owner, defined scope, operating evidence and approved exception process.</w:t>
      </w:r>
    </w:p>
    <w:p>
      <w:pPr>
        <w:pStyle w:val="Heading2"/>
        <w:spacing w:before="280"/>
      </w:pPr>
      <w:r>
        <w:rPr>
          <w:rFonts w:ascii="Calibri" w:cs="Calibri" w:eastAsia="Calibri" w:hAnsi="Calibri"/>
          <w:b/>
          <w:bCs/>
          <w:sz w:val="24"/>
          <w:szCs w:val="24"/>
        </w:rPr>
        <w:t xml:space="preserve">4. What access and authentication rules should the policy contain</w:t>
      </w:r>
    </w:p>
    <w:p>
      <w:pPr>
        <w:spacing w:after="120"/>
      </w:pPr>
      <w:r>
        <w:rPr>
          <w:rFonts w:ascii="Calibri" w:cs="Calibri" w:eastAsia="Calibri" w:hAnsi="Calibri"/>
          <w:i/>
          <w:iCs/>
          <w:color w:val="666666"/>
          <w:sz w:val="18"/>
          <w:szCs w:val="18"/>
        </w:rPr>
        <w:t xml:space="preserve">Drafted to answer: What access and authentication rules should the policy contain?</w:t>
      </w:r>
    </w:p>
    <w:p>
      <w:pPr>
        <w:spacing w:after="160"/>
      </w:pPr>
      <w:r>
        <w:rPr>
          <w:rFonts w:ascii="Calibri" w:cs="Calibri" w:eastAsia="Calibri" w:hAnsi="Calibri"/>
          <w:sz w:val="22"/>
          <w:szCs w:val="22"/>
        </w:rPr>
        <w:t xml:space="preserve">Access is individually assigned, approved by the relevant information or system owner and limited to the minimum required for current duties. Multi-factor authentication is mandatory for privileged accounts, email, remote access, cloud administration, finance systems and other externally accessible or sensitive services. Privileged and routine activity must use separate accounts where supported. We provide an approved password manager, prohibit password reuse and uncontrolled credential sharing, review access according to risk, and promptly revoke access when employment, duties or supplier relationships end.</w:t>
      </w:r>
    </w:p>
    <w:p>
      <w:pPr>
        <w:pStyle w:val="Heading2"/>
        <w:spacing w:before="280"/>
      </w:pPr>
      <w:r>
        <w:rPr>
          <w:rFonts w:ascii="Calibri" w:cs="Calibri" w:eastAsia="Calibri" w:hAnsi="Calibri"/>
          <w:b/>
          <w:bCs/>
          <w:sz w:val="24"/>
          <w:szCs w:val="24"/>
        </w:rPr>
        <w:t xml:space="preserve">5. How should the policy cover third parties, cloud services and overseas providers</w:t>
      </w:r>
    </w:p>
    <w:p>
      <w:pPr>
        <w:spacing w:after="120"/>
      </w:pPr>
      <w:r>
        <w:rPr>
          <w:rFonts w:ascii="Calibri" w:cs="Calibri" w:eastAsia="Calibri" w:hAnsi="Calibri"/>
          <w:i/>
          <w:iCs/>
          <w:color w:val="666666"/>
          <w:sz w:val="18"/>
          <w:szCs w:val="18"/>
        </w:rPr>
        <w:t xml:space="preserve">Drafted to answer: How should the policy cover third parties, cloud services and overseas providers?</w:t>
      </w:r>
    </w:p>
    <w:p>
      <w:pPr>
        <w:spacing w:after="160"/>
      </w:pPr>
      <w:r>
        <w:rPr>
          <w:rFonts w:ascii="Calibri" w:cs="Calibri" w:eastAsia="Calibri" w:hAnsi="Calibri"/>
          <w:sz w:val="22"/>
          <w:szCs w:val="22"/>
        </w:rPr>
        <w:t xml:space="preserve">Third parties may access or process information only after proportionate security and privacy due diligence and written approval. Contracts must address permitted use, confidentiality, access control, security safeguards, subprocessors, data locations, incident notification, cooperation, continuity, audit evidence, retention, secure deletion and exit assistance. We remain accountable for personal information processed on our behalf. Before disclosing personal information outside New Zealand, the privacy officer must assess IPP 12 and document the lawful basis and comparable safeguards.</w:t>
      </w:r>
    </w:p>
    <w:p>
      <w:pPr>
        <w:pStyle w:val="Heading2"/>
        <w:spacing w:before="280"/>
      </w:pPr>
      <w:r>
        <w:rPr>
          <w:rFonts w:ascii="Calibri" w:cs="Calibri" w:eastAsia="Calibri" w:hAnsi="Calibri"/>
          <w:b/>
          <w:bCs/>
          <w:sz w:val="24"/>
          <w:szCs w:val="24"/>
        </w:rPr>
        <w:t xml:space="preserve">6. How should the policy balance security monitoring with New Zealand privacy and employment law</w:t>
      </w:r>
    </w:p>
    <w:p>
      <w:pPr>
        <w:spacing w:after="120"/>
      </w:pPr>
      <w:r>
        <w:rPr>
          <w:rFonts w:ascii="Calibri" w:cs="Calibri" w:eastAsia="Calibri" w:hAnsi="Calibri"/>
          <w:i/>
          <w:iCs/>
          <w:color w:val="666666"/>
          <w:sz w:val="18"/>
          <w:szCs w:val="18"/>
        </w:rPr>
        <w:t xml:space="preserve">Drafted to answer: How should the policy balance security monitoring with New Zealand privacy and employment law?</w:t>
      </w:r>
    </w:p>
    <w:p>
      <w:pPr>
        <w:spacing w:after="160"/>
      </w:pPr>
      <w:r>
        <w:rPr>
          <w:rFonts w:ascii="Calibri" w:cs="Calibri" w:eastAsia="Calibri" w:hAnsi="Calibri"/>
          <w:sz w:val="22"/>
          <w:szCs w:val="22"/>
        </w:rPr>
        <w:t xml:space="preserve">We monitor company systems, accounts, networks and devices only for documented and legitimate purposes such as security, service reliability, legal compliance and investigation of suspected misuse. Monitoring must be necessary, proportionate, lawful, fair and no more intrusive than reasonably required. Personnel are informed of the monitoring performed, the information collected, its purposes, authorised users, retention and possible employment uses. Covert or materially expanded monitoring requires privacy, employment-law and senior-management review before deployment, except where immediate lawful action is necessary to address a serious threat.</w:t>
      </w:r>
    </w:p>
    <w:p>
      <w:pPr>
        <w:pStyle w:val="Heading2"/>
        <w:spacing w:before="280"/>
      </w:pPr>
      <w:r>
        <w:rPr>
          <w:rFonts w:ascii="Calibri" w:cs="Calibri" w:eastAsia="Calibri" w:hAnsi="Calibri"/>
          <w:b/>
          <w:bCs/>
          <w:sz w:val="24"/>
          <w:szCs w:val="24"/>
        </w:rPr>
        <w:t xml:space="preserve">7. How should policy exceptions and risk acceptance work</w:t>
      </w:r>
    </w:p>
    <w:p>
      <w:pPr>
        <w:spacing w:after="120"/>
      </w:pPr>
      <w:r>
        <w:rPr>
          <w:rFonts w:ascii="Calibri" w:cs="Calibri" w:eastAsia="Calibri" w:hAnsi="Calibri"/>
          <w:i/>
          <w:iCs/>
          <w:color w:val="666666"/>
          <w:sz w:val="18"/>
          <w:szCs w:val="18"/>
        </w:rPr>
        <w:t xml:space="preserve">Drafted to answer: How should policy exceptions and risk acceptance work?</w:t>
      </w:r>
    </w:p>
    <w:p>
      <w:pPr>
        <w:spacing w:after="160"/>
      </w:pPr>
      <w:r>
        <w:rPr>
          <w:rFonts w:ascii="Calibri" w:cs="Calibri" w:eastAsia="Calibri" w:hAnsi="Calibri"/>
          <w:sz w:val="22"/>
          <w:szCs w:val="22"/>
        </w:rPr>
        <w:t xml:space="preserve">No person may create an informal exception to this policy. An exception request must identify the requirement, scope, business reason, risk, duration, compensating controls, remediation plan and accountable owner. Approval must be given by the authorised risk owner and, where personal information, employment monitoring, regulation or contract is affected, by the privacy or legal reviewer. Every exception has an expiry date and is reviewed before expiry. No exception authorises conduct that breaches law or a binding contract.</w:t>
      </w:r>
    </w:p>
    <w:p>
      <w:pPr>
        <w:pStyle w:val="Heading2"/>
        <w:spacing w:before="280"/>
      </w:pPr>
      <w:r>
        <w:rPr>
          <w:rFonts w:ascii="Calibri" w:cs="Calibri" w:eastAsia="Calibri" w:hAnsi="Calibri"/>
          <w:b/>
          <w:bCs/>
          <w:sz w:val="24"/>
          <w:szCs w:val="24"/>
        </w:rPr>
        <w:t xml:space="preserve">8. Who should approve and own the policy, and how often should it be reviewed</w:t>
      </w:r>
    </w:p>
    <w:p>
      <w:pPr>
        <w:spacing w:after="120"/>
      </w:pPr>
      <w:r>
        <w:rPr>
          <w:rFonts w:ascii="Calibri" w:cs="Calibri" w:eastAsia="Calibri" w:hAnsi="Calibri"/>
          <w:i/>
          <w:iCs/>
          <w:color w:val="666666"/>
          <w:sz w:val="18"/>
          <w:szCs w:val="18"/>
        </w:rPr>
        <w:t xml:space="preserve">Drafted to answer: Who should approve and own the policy, and how often should it be reviewed?</w:t>
      </w:r>
    </w:p>
    <w:p>
      <w:pPr>
        <w:spacing w:after="160"/>
      </w:pPr>
      <w:r>
        <w:rPr>
          <w:rFonts w:ascii="Calibri" w:cs="Calibri" w:eastAsia="Calibri" w:hAnsi="Calibri"/>
          <w:sz w:val="22"/>
          <w:szCs w:val="22"/>
        </w:rPr>
        <w:t xml:space="preserve">The Chief Executive or delegated senior leader owns and approves this policy. The privacy officer reviews privacy requirements, and technical and information owners confirm that assigned controls are implemented and evidenced. The policy is reviewed at least annually and following a material incident, significant technology or supplier change, new service, legal or contractual change, audit finding or organisational restructure. The controlled copy records its owner, approver, version, approval date, next review date and change history.</w:t>
      </w:r>
    </w:p>
    <w:p>
      <w:pPr>
        <w:pStyle w:val="Heading2"/>
        <w:spacing w:before="280"/>
      </w:pPr>
      <w:r>
        <w:rPr>
          <w:rFonts w:ascii="Calibri" w:cs="Calibri" w:eastAsia="Calibri" w:hAnsi="Calibri"/>
          <w:b/>
          <w:bCs/>
          <w:sz w:val="24"/>
          <w:szCs w:val="24"/>
        </w:rPr>
        <w:t xml:space="preserve">9. What are the common gaps in New Zealand SME information security policies</w:t>
      </w:r>
    </w:p>
    <w:p>
      <w:pPr>
        <w:spacing w:after="120"/>
      </w:pPr>
      <w:r>
        <w:rPr>
          <w:rFonts w:ascii="Calibri" w:cs="Calibri" w:eastAsia="Calibri" w:hAnsi="Calibri"/>
          <w:i/>
          <w:iCs/>
          <w:color w:val="666666"/>
          <w:sz w:val="18"/>
          <w:szCs w:val="18"/>
        </w:rPr>
        <w:t xml:space="preserve">Drafted to answer: What are the common gaps in New Zealand SME information security policies?</w:t>
      </w:r>
    </w:p>
    <w:p>
      <w:pPr>
        <w:spacing w:after="160"/>
      </w:pPr>
      <w:r>
        <w:rPr>
          <w:rFonts w:ascii="Calibri" w:cs="Calibri" w:eastAsia="Calibri" w:hAnsi="Calibri"/>
          <w:sz w:val="22"/>
          <w:szCs w:val="22"/>
        </w:rPr>
        <w:t xml:space="preserve">The policy must reflect our actual information, systems, cloud services, devices, suppliers, work practices and legal obligations. Every mandatory rule has an owner and evidence of operation. Shared credentials, unsupported systems, untested backups, undisclosed monitoring, unassessed suppliers and undocumented exceptions are not accepted as normal practice. Australian frameworks are not described as New Zealand legal requirements, and NZISM applies only where adopted or made binding through government, contractual or regulated requirements.</w:t>
      </w:r>
    </w:p>
    <w:p>
      <w:pPr>
        <w:pStyle w:val="Heading1"/>
        <w:spacing w:before="320"/>
      </w:pPr>
      <w:r>
        <w:rPr>
          <w:rFonts w:ascii="Calibri" w:cs="Calibri" w:eastAsia="Calibri" w:hAnsi="Calibri"/>
          <w:b/>
          <w:bCs/>
          <w:sz w:val="28"/>
          <w:szCs w:val="28"/>
        </w:rPr>
        <w:t xml:space="preserve">Schedule: obligations this policy supports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2340"/>
        <w:gridCol w:w="3900"/>
      </w:tblGrid>
      <w:tr>
        <w:tc>
          <w:tcPr>
            <w:tcW w:type="dxa" w:w="3120"/>
            <w:shd w:fill="F4F5F7" w:val="clear"/>
            <w:tcMar>
              <w:top w:type="dxa" w:w="80"/>
              <w:left w:type="dxa" w:w="120"/>
              <w:bottom w:type="dxa" w:w="80"/>
              <w:right w:type="dxa" w:w="120"/>
            </w:tcMar>
          </w:tcPr>
          <w:p>
            <w:r>
              <w:rPr>
                <w:rFonts w:ascii="Calibri" w:cs="Calibri" w:eastAsia="Calibri" w:hAnsi="Calibri"/>
                <w:b/>
                <w:bCs/>
                <w:sz w:val="20"/>
                <w:szCs w:val="20"/>
              </w:rPr>
              <w:t xml:space="preserve">Obligation</w:t>
            </w:r>
          </w:p>
        </w:tc>
        <w:tc>
          <w:tcPr>
            <w:tcW w:type="dxa" w:w="2340"/>
            <w:shd w:fill="F4F5F7" w:val="clear"/>
            <w:tcMar>
              <w:top w:type="dxa" w:w="80"/>
              <w:left w:type="dxa" w:w="120"/>
              <w:bottom w:type="dxa" w:w="80"/>
              <w:right w:type="dxa" w:w="120"/>
            </w:tcMar>
          </w:tcPr>
          <w:p>
            <w:r>
              <w:rPr>
                <w:rFonts w:ascii="Calibri" w:cs="Calibri" w:eastAsia="Calibri" w:hAnsi="Calibri"/>
                <w:b/>
                <w:bCs/>
                <w:sz w:val="20"/>
                <w:szCs w:val="20"/>
              </w:rPr>
              <w:t xml:space="preserve">Regulator</w:t>
            </w:r>
          </w:p>
        </w:tc>
        <w:tc>
          <w:tcPr>
            <w:tcW w:type="dxa" w:w="3900"/>
            <w:shd w:fill="F4F5F7" w:val="clear"/>
            <w:tcMar>
              <w:top w:type="dxa" w:w="80"/>
              <w:left w:type="dxa" w:w="120"/>
              <w:bottom w:type="dxa" w:w="80"/>
              <w:right w:type="dxa" w:w="120"/>
            </w:tcMar>
          </w:tcPr>
          <w:p>
            <w:r>
              <w:rPr>
                <w:rFonts w:ascii="Calibri" w:cs="Calibri" w:eastAsia="Calibri" w:hAnsi="Calibri"/>
                <w:b/>
                <w:bCs/>
                <w:sz w:val="20"/>
                <w:szCs w:val="20"/>
              </w:rPr>
              <w:t xml:space="preserve">Timeframe</w:t>
            </w:r>
          </w:p>
        </w:tc>
      </w:tr>
      <w:tr>
        <w:tc>
          <w:tcPr>
            <w:tcW w:type="dxa" w:w="3120"/>
            <w:tcMar>
              <w:top w:type="dxa" w:w="80"/>
              <w:left w:type="dxa" w:w="120"/>
              <w:bottom w:type="dxa" w:w="80"/>
              <w:right w:type="dxa" w:w="120"/>
            </w:tcMar>
          </w:tcPr>
          <w:p>
            <w:r>
              <w:rPr>
                <w:rFonts w:ascii="Calibri" w:cs="Calibri" w:eastAsia="Calibri" w:hAnsi="Calibri"/>
                <w:b w:val="false"/>
                <w:bCs w:val="false"/>
                <w:sz w:val="20"/>
                <w:szCs w:val="20"/>
              </w:rPr>
              <w:t xml:space="preserve">Privacy Act 2020 IPP 5 reasonable security safeguards</w:t>
            </w:r>
          </w:p>
        </w:tc>
        <w:tc>
          <w:tcPr>
            <w:tcW w:type="dxa" w:w="2340"/>
            <w:tcMar>
              <w:top w:type="dxa" w:w="80"/>
              <w:left w:type="dxa" w:w="120"/>
              <w:bottom w:type="dxa" w:w="80"/>
              <w:right w:type="dxa" w:w="120"/>
            </w:tcMar>
          </w:tcPr>
          <w:p>
            <w:r>
              <w:rPr>
                <w:rFonts w:ascii="Calibri" w:cs="Calibri" w:eastAsia="Calibri" w:hAnsi="Calibri"/>
                <w:b w:val="false"/>
                <w:bCs w:val="false"/>
                <w:sz w:val="20"/>
                <w:szCs w:val="20"/>
              </w:rPr>
              <w:t xml:space="preserve">Office of the Privacy Commissioner</w:t>
            </w:r>
          </w:p>
        </w:tc>
        <w:tc>
          <w:tcPr>
            <w:tcW w:type="dxa" w:w="3900"/>
            <w:tcMar>
              <w:top w:type="dxa" w:w="80"/>
              <w:left w:type="dxa" w:w="120"/>
              <w:bottom w:type="dxa" w:w="80"/>
              <w:right w:type="dxa" w:w="120"/>
            </w:tcMar>
          </w:tcPr>
          <w:p>
            <w:r>
              <w:rPr>
                <w:rFonts w:ascii="Calibri" w:cs="Calibri" w:eastAsia="Calibri" w:hAnsi="Calibri"/>
                <w:b w:val="false"/>
                <w:bCs w:val="false"/>
                <w:sz w:val="20"/>
                <w:szCs w:val="20"/>
              </w:rPr>
              <w:t xml:space="preserve">Ongoing while the information is held and whenever systems, risks, uses, suppliers or handling arrangements change.</w:t>
            </w:r>
          </w:p>
        </w:tc>
      </w:tr>
      <w:tr>
        <w:tc>
          <w:tcPr>
            <w:tcW w:type="dxa" w:w="3120"/>
            <w:tcMar>
              <w:top w:type="dxa" w:w="80"/>
              <w:left w:type="dxa" w:w="120"/>
              <w:bottom w:type="dxa" w:w="80"/>
              <w:right w:type="dxa" w:w="120"/>
            </w:tcMar>
          </w:tcPr>
          <w:p>
            <w:r>
              <w:rPr>
                <w:rFonts w:ascii="Calibri" w:cs="Calibri" w:eastAsia="Calibri" w:hAnsi="Calibri"/>
                <w:b w:val="false"/>
                <w:bCs w:val="false"/>
                <w:sz w:val="20"/>
                <w:szCs w:val="20"/>
              </w:rPr>
              <w:t xml:space="preserve">IPP 5 safeguards for personal information handled by a service provider</w:t>
            </w:r>
          </w:p>
        </w:tc>
        <w:tc>
          <w:tcPr>
            <w:tcW w:type="dxa" w:w="2340"/>
            <w:tcMar>
              <w:top w:type="dxa" w:w="80"/>
              <w:left w:type="dxa" w:w="120"/>
              <w:bottom w:type="dxa" w:w="80"/>
              <w:right w:type="dxa" w:w="120"/>
            </w:tcMar>
          </w:tcPr>
          <w:p>
            <w:r>
              <w:rPr>
                <w:rFonts w:ascii="Calibri" w:cs="Calibri" w:eastAsia="Calibri" w:hAnsi="Calibri"/>
                <w:b w:val="false"/>
                <w:bCs w:val="false"/>
                <w:sz w:val="20"/>
                <w:szCs w:val="20"/>
              </w:rPr>
              <w:t xml:space="preserve">Office of the Privacy Commissioner</w:t>
            </w:r>
          </w:p>
        </w:tc>
        <w:tc>
          <w:tcPr>
            <w:tcW w:type="dxa" w:w="3900"/>
            <w:tcMar>
              <w:top w:type="dxa" w:w="80"/>
              <w:left w:type="dxa" w:w="120"/>
              <w:bottom w:type="dxa" w:w="80"/>
              <w:right w:type="dxa" w:w="120"/>
            </w:tcMar>
          </w:tcPr>
          <w:p>
            <w:r>
              <w:rPr>
                <w:rFonts w:ascii="Calibri" w:cs="Calibri" w:eastAsia="Calibri" w:hAnsi="Calibri"/>
                <w:b w:val="false"/>
                <w:bCs w:val="false"/>
                <w:sz w:val="20"/>
                <w:szCs w:val="20"/>
              </w:rPr>
              <w:t xml:space="preserve">Before and throughout the service relationship, using everything reasonably within the organisation's power to prevent unauthorised use or disclosure.</w:t>
            </w:r>
          </w:p>
        </w:tc>
      </w:tr>
      <w:tr>
        <w:tc>
          <w:tcPr>
            <w:tcW w:type="dxa" w:w="3120"/>
            <w:tcMar>
              <w:top w:type="dxa" w:w="80"/>
              <w:left w:type="dxa" w:w="120"/>
              <w:bottom w:type="dxa" w:w="80"/>
              <w:right w:type="dxa" w:w="120"/>
            </w:tcMar>
          </w:tcPr>
          <w:p>
            <w:r>
              <w:rPr>
                <w:rFonts w:ascii="Calibri" w:cs="Calibri" w:eastAsia="Calibri" w:hAnsi="Calibri"/>
                <w:b w:val="false"/>
                <w:bCs w:val="false"/>
                <w:sz w:val="20"/>
                <w:szCs w:val="20"/>
              </w:rPr>
              <w:t xml:space="preserve">Privacy officer appointment</w:t>
            </w:r>
          </w:p>
        </w:tc>
        <w:tc>
          <w:tcPr>
            <w:tcW w:type="dxa" w:w="2340"/>
            <w:tcMar>
              <w:top w:type="dxa" w:w="80"/>
              <w:left w:type="dxa" w:w="120"/>
              <w:bottom w:type="dxa" w:w="80"/>
              <w:right w:type="dxa" w:w="120"/>
            </w:tcMar>
          </w:tcPr>
          <w:p>
            <w:r>
              <w:rPr>
                <w:rFonts w:ascii="Calibri" w:cs="Calibri" w:eastAsia="Calibri" w:hAnsi="Calibri"/>
                <w:b w:val="false"/>
                <w:bCs w:val="false"/>
                <w:sz w:val="20"/>
                <w:szCs w:val="20"/>
              </w:rPr>
              <w:t xml:space="preserve">Office of the Privacy Commissioner</w:t>
            </w:r>
          </w:p>
        </w:tc>
        <w:tc>
          <w:tcPr>
            <w:tcW w:type="dxa" w:w="3900"/>
            <w:tcMar>
              <w:top w:type="dxa" w:w="80"/>
              <w:left w:type="dxa" w:w="120"/>
              <w:bottom w:type="dxa" w:w="80"/>
              <w:right w:type="dxa" w:w="120"/>
            </w:tcMar>
          </w:tcPr>
          <w:p>
            <w:r>
              <w:rPr>
                <w:rFonts w:ascii="Calibri" w:cs="Calibri" w:eastAsia="Calibri" w:hAnsi="Calibri"/>
                <w:b w:val="false"/>
                <w:bCs w:val="false"/>
                <w:sz w:val="20"/>
                <w:szCs w:val="20"/>
              </w:rPr>
              <w:t xml:space="preserve">Maintain at least one person fulfilling the privacy-officer role on an ongoing basis.</w:t>
            </w:r>
          </w:p>
        </w:tc>
      </w:tr>
      <w:tr>
        <w:tc>
          <w:tcPr>
            <w:tcW w:type="dxa" w:w="3120"/>
            <w:tcMar>
              <w:top w:type="dxa" w:w="80"/>
              <w:left w:type="dxa" w:w="120"/>
              <w:bottom w:type="dxa" w:w="80"/>
              <w:right w:type="dxa" w:w="120"/>
            </w:tcMar>
          </w:tcPr>
          <w:p>
            <w:r>
              <w:rPr>
                <w:rFonts w:ascii="Calibri" w:cs="Calibri" w:eastAsia="Calibri" w:hAnsi="Calibri"/>
                <w:b w:val="false"/>
                <w:bCs w:val="false"/>
                <w:sz w:val="20"/>
                <w:szCs w:val="20"/>
              </w:rPr>
              <w:t xml:space="preserve">Responsibility for outsourced processing under Privacy Act section 11</w:t>
            </w:r>
          </w:p>
        </w:tc>
        <w:tc>
          <w:tcPr>
            <w:tcW w:type="dxa" w:w="2340"/>
            <w:tcMar>
              <w:top w:type="dxa" w:w="80"/>
              <w:left w:type="dxa" w:w="120"/>
              <w:bottom w:type="dxa" w:w="80"/>
              <w:right w:type="dxa" w:w="120"/>
            </w:tcMar>
          </w:tcPr>
          <w:p>
            <w:r>
              <w:rPr>
                <w:rFonts w:ascii="Calibri" w:cs="Calibri" w:eastAsia="Calibri" w:hAnsi="Calibri"/>
                <w:b w:val="false"/>
                <w:bCs w:val="false"/>
                <w:sz w:val="20"/>
                <w:szCs w:val="20"/>
              </w:rPr>
              <w:t xml:space="preserve">Office of the Privacy Commissioner</w:t>
            </w:r>
          </w:p>
        </w:tc>
        <w:tc>
          <w:tcPr>
            <w:tcW w:type="dxa" w:w="3900"/>
            <w:tcMar>
              <w:top w:type="dxa" w:w="80"/>
              <w:left w:type="dxa" w:w="120"/>
              <w:bottom w:type="dxa" w:w="80"/>
              <w:right w:type="dxa" w:w="120"/>
            </w:tcMar>
          </w:tcPr>
          <w:p>
            <w:r>
              <w:rPr>
                <w:rFonts w:ascii="Calibri" w:cs="Calibri" w:eastAsia="Calibri" w:hAnsi="Calibri"/>
                <w:b w:val="false"/>
                <w:bCs w:val="false"/>
                <w:sz w:val="20"/>
                <w:szCs w:val="20"/>
              </w:rPr>
              <w:t xml:space="preserve">Ongoing throughout the outsourced processing arrangement.</w:t>
            </w:r>
          </w:p>
        </w:tc>
      </w:tr>
      <w:tr>
        <w:tc>
          <w:tcPr>
            <w:tcW w:type="dxa" w:w="3120"/>
            <w:tcMar>
              <w:top w:type="dxa" w:w="80"/>
              <w:left w:type="dxa" w:w="120"/>
              <w:bottom w:type="dxa" w:w="80"/>
              <w:right w:type="dxa" w:w="120"/>
            </w:tcMar>
          </w:tcPr>
          <w:p>
            <w:r>
              <w:rPr>
                <w:rFonts w:ascii="Calibri" w:cs="Calibri" w:eastAsia="Calibri" w:hAnsi="Calibri"/>
                <w:b w:val="false"/>
                <w:bCs w:val="false"/>
                <w:sz w:val="20"/>
                <w:szCs w:val="20"/>
              </w:rPr>
              <w:t xml:space="preserve">Privacy Act 2020 IPP 12 overseas disclosure safeguards</w:t>
            </w:r>
          </w:p>
        </w:tc>
        <w:tc>
          <w:tcPr>
            <w:tcW w:type="dxa" w:w="2340"/>
            <w:tcMar>
              <w:top w:type="dxa" w:w="80"/>
              <w:left w:type="dxa" w:w="120"/>
              <w:bottom w:type="dxa" w:w="80"/>
              <w:right w:type="dxa" w:w="120"/>
            </w:tcMar>
          </w:tcPr>
          <w:p>
            <w:r>
              <w:rPr>
                <w:rFonts w:ascii="Calibri" w:cs="Calibri" w:eastAsia="Calibri" w:hAnsi="Calibri"/>
                <w:b w:val="false"/>
                <w:bCs w:val="false"/>
                <w:sz w:val="20"/>
                <w:szCs w:val="20"/>
              </w:rPr>
              <w:t xml:space="preserve">Office of the Privacy Commissioner</w:t>
            </w:r>
          </w:p>
        </w:tc>
        <w:tc>
          <w:tcPr>
            <w:tcW w:type="dxa" w:w="3900"/>
            <w:tcMar>
              <w:top w:type="dxa" w:w="80"/>
              <w:left w:type="dxa" w:w="120"/>
              <w:bottom w:type="dxa" w:w="80"/>
              <w:right w:type="dxa" w:w="120"/>
            </w:tcMar>
          </w:tcPr>
          <w:p>
            <w:r>
              <w:rPr>
                <w:rFonts w:ascii="Calibri" w:cs="Calibri" w:eastAsia="Calibri" w:hAnsi="Calibri"/>
                <w:b w:val="false"/>
                <w:bCs w:val="false"/>
                <w:sz w:val="20"/>
                <w:szCs w:val="20"/>
              </w:rPr>
              <w:t xml:space="preserve">Assess and document an authorised IPP 12 basis before making the disclosure and maintain the required safeguards while it continues.</w:t>
            </w:r>
          </w:p>
        </w:tc>
      </w:tr>
      <w:tr>
        <w:tc>
          <w:tcPr>
            <w:tcW w:type="dxa" w:w="3120"/>
            <w:tcMar>
              <w:top w:type="dxa" w:w="80"/>
              <w:left w:type="dxa" w:w="120"/>
              <w:bottom w:type="dxa" w:w="80"/>
              <w:right w:type="dxa" w:w="120"/>
            </w:tcMar>
          </w:tcPr>
          <w:p>
            <w:r>
              <w:rPr>
                <w:rFonts w:ascii="Calibri" w:cs="Calibri" w:eastAsia="Calibri" w:hAnsi="Calibri"/>
                <w:b w:val="false"/>
                <w:bCs w:val="false"/>
                <w:sz w:val="20"/>
                <w:szCs w:val="20"/>
              </w:rPr>
              <w:t xml:space="preserve">Employee monitoring privacy requirements</w:t>
            </w:r>
          </w:p>
        </w:tc>
        <w:tc>
          <w:tcPr>
            <w:tcW w:type="dxa" w:w="2340"/>
            <w:tcMar>
              <w:top w:type="dxa" w:w="80"/>
              <w:left w:type="dxa" w:w="120"/>
              <w:bottom w:type="dxa" w:w="80"/>
              <w:right w:type="dxa" w:w="120"/>
            </w:tcMar>
          </w:tcPr>
          <w:p>
            <w:r>
              <w:rPr>
                <w:rFonts w:ascii="Calibri" w:cs="Calibri" w:eastAsia="Calibri" w:hAnsi="Calibri"/>
                <w:b w:val="false"/>
                <w:bCs w:val="false"/>
                <w:sz w:val="20"/>
                <w:szCs w:val="20"/>
              </w:rPr>
              <w:t xml:space="preserve">Office of the Privacy Commissioner</w:t>
            </w:r>
          </w:p>
        </w:tc>
        <w:tc>
          <w:tcPr>
            <w:tcW w:type="dxa" w:w="3900"/>
            <w:tcMar>
              <w:top w:type="dxa" w:w="80"/>
              <w:left w:type="dxa" w:w="120"/>
              <w:bottom w:type="dxa" w:w="80"/>
              <w:right w:type="dxa" w:w="120"/>
            </w:tcMar>
          </w:tcPr>
          <w:p>
            <w:r>
              <w:rPr>
                <w:rFonts w:ascii="Calibri" w:cs="Calibri" w:eastAsia="Calibri" w:hAnsi="Calibri"/>
                <w:b w:val="false"/>
                <w:bCs w:val="false"/>
                <w:sz w:val="20"/>
                <w:szCs w:val="20"/>
              </w:rPr>
              <w:t xml:space="preserve">Before collection and throughout use, retention and disclosure of the monitoring information.</w:t>
            </w:r>
          </w:p>
        </w:tc>
      </w:tr>
      <w:tr>
        <w:tc>
          <w:tcPr>
            <w:tcW w:type="dxa" w:w="3120"/>
            <w:tcMar>
              <w:top w:type="dxa" w:w="80"/>
              <w:left w:type="dxa" w:w="120"/>
              <w:bottom w:type="dxa" w:w="80"/>
              <w:right w:type="dxa" w:w="120"/>
            </w:tcMar>
          </w:tcPr>
          <w:p>
            <w:r>
              <w:rPr>
                <w:rFonts w:ascii="Calibri" w:cs="Calibri" w:eastAsia="Calibri" w:hAnsi="Calibri"/>
                <w:b w:val="false"/>
                <w:bCs w:val="false"/>
                <w:sz w:val="20"/>
                <w:szCs w:val="20"/>
              </w:rPr>
              <w:t xml:space="preserve">Employment relationship good-faith duty</w:t>
            </w:r>
          </w:p>
        </w:tc>
        <w:tc>
          <w:tcPr>
            <w:tcW w:type="dxa" w:w="2340"/>
            <w:tcMar>
              <w:top w:type="dxa" w:w="80"/>
              <w:left w:type="dxa" w:w="120"/>
              <w:bottom w:type="dxa" w:w="80"/>
              <w:right w:type="dxa" w:w="120"/>
            </w:tcMar>
          </w:tcPr>
          <w:p>
            <w:r>
              <w:rPr>
                <w:rFonts w:ascii="Calibri" w:cs="Calibri" w:eastAsia="Calibri" w:hAnsi="Calibri"/>
                <w:b w:val="false"/>
                <w:bCs w:val="false"/>
                <w:sz w:val="20"/>
                <w:szCs w:val="20"/>
              </w:rPr>
              <w:t xml:space="preserve">Employment Relations Authority and Employment Court</w:t>
            </w:r>
          </w:p>
        </w:tc>
        <w:tc>
          <w:tcPr>
            <w:tcW w:type="dxa" w:w="3900"/>
            <w:tcMar>
              <w:top w:type="dxa" w:w="80"/>
              <w:left w:type="dxa" w:w="120"/>
              <w:bottom w:type="dxa" w:w="80"/>
              <w:right w:type="dxa" w:w="120"/>
            </w:tcMar>
          </w:tcPr>
          <w:p>
            <w:r>
              <w:rPr>
                <w:rFonts w:ascii="Calibri" w:cs="Calibri" w:eastAsia="Calibri" w:hAnsi="Calibri"/>
                <w:b w:val="false"/>
                <w:bCs w:val="false"/>
                <w:sz w:val="20"/>
                <w:szCs w:val="20"/>
              </w:rPr>
              <w:t xml:space="preserve">Ongoing throughout the employment relationship and relevant consultation or employment process.</w:t>
            </w:r>
          </w:p>
        </w:tc>
      </w:tr>
      <w:tr>
        <w:tc>
          <w:tcPr>
            <w:tcW w:type="dxa" w:w="3120"/>
            <w:tcMar>
              <w:top w:type="dxa" w:w="80"/>
              <w:left w:type="dxa" w:w="120"/>
              <w:bottom w:type="dxa" w:w="80"/>
              <w:right w:type="dxa" w:w="120"/>
            </w:tcMar>
          </w:tcPr>
          <w:p>
            <w:r>
              <w:rPr>
                <w:rFonts w:ascii="Calibri" w:cs="Calibri" w:eastAsia="Calibri" w:hAnsi="Calibri"/>
                <w:b w:val="false"/>
                <w:bCs w:val="false"/>
                <w:sz w:val="20"/>
                <w:szCs w:val="20"/>
              </w:rPr>
              <w:t xml:space="preserve">Notifiable privacy breach</w:t>
            </w:r>
          </w:p>
        </w:tc>
        <w:tc>
          <w:tcPr>
            <w:tcW w:type="dxa" w:w="2340"/>
            <w:tcMar>
              <w:top w:type="dxa" w:w="80"/>
              <w:left w:type="dxa" w:w="120"/>
              <w:bottom w:type="dxa" w:w="80"/>
              <w:right w:type="dxa" w:w="120"/>
            </w:tcMar>
          </w:tcPr>
          <w:p>
            <w:r>
              <w:rPr>
                <w:rFonts w:ascii="Calibri" w:cs="Calibri" w:eastAsia="Calibri" w:hAnsi="Calibri"/>
                <w:b w:val="false"/>
                <w:bCs w:val="false"/>
                <w:sz w:val="20"/>
                <w:szCs w:val="20"/>
              </w:rPr>
              <w:t xml:space="preserve">Office of the Privacy Commissioner</w:t>
            </w:r>
          </w:p>
        </w:tc>
        <w:tc>
          <w:tcPr>
            <w:tcW w:type="dxa" w:w="3900"/>
            <w:tcMar>
              <w:top w:type="dxa" w:w="80"/>
              <w:left w:type="dxa" w:w="120"/>
              <w:bottom w:type="dxa" w:w="80"/>
              <w:right w:type="dxa" w:w="120"/>
            </w:tcMar>
          </w:tcPr>
          <w:p>
            <w:r>
              <w:rPr>
                <w:rFonts w:ascii="Calibri" w:cs="Calibri" w:eastAsia="Calibri" w:hAnsi="Calibri"/>
                <w:b w:val="false"/>
                <w:bCs w:val="false"/>
                <w:sz w:val="20"/>
                <w:szCs w:val="20"/>
              </w:rPr>
              <w:t xml:space="preserve">Notify the Commissioner and affected people as soon as practicable; OPC says it should ideally be notified within 72 hours after awareness.</w:t>
            </w:r>
          </w:p>
        </w:tc>
      </w:tr>
      <w:tr>
        <w:tc>
          <w:tcPr>
            <w:tcW w:type="dxa" w:w="3120"/>
            <w:tcMar>
              <w:top w:type="dxa" w:w="80"/>
              <w:left w:type="dxa" w:w="120"/>
              <w:bottom w:type="dxa" w:w="80"/>
              <w:right w:type="dxa" w:w="120"/>
            </w:tcMar>
          </w:tcPr>
          <w:p>
            <w:r>
              <w:rPr>
                <w:rFonts w:ascii="Calibri" w:cs="Calibri" w:eastAsia="Calibri" w:hAnsi="Calibri"/>
                <w:b w:val="false"/>
                <w:bCs w:val="false"/>
                <w:sz w:val="20"/>
                <w:szCs w:val="20"/>
              </w:rPr>
              <w:t xml:space="preserve">NZISM or customer security-policy requirement incorporated by contract or government mandate</w:t>
            </w:r>
          </w:p>
        </w:tc>
        <w:tc>
          <w:tcPr>
            <w:tcW w:type="dxa" w:w="2340"/>
            <w:tcMar>
              <w:top w:type="dxa" w:w="80"/>
              <w:left w:type="dxa" w:w="120"/>
              <w:bottom w:type="dxa" w:w="80"/>
              <w:right w:type="dxa" w:w="120"/>
            </w:tcMar>
          </w:tcPr>
          <w:p>
            <w:r>
              <w:rPr>
                <w:rFonts w:ascii="Calibri" w:cs="Calibri" w:eastAsia="Calibri" w:hAnsi="Calibri"/>
                <w:b w:val="false"/>
                <w:bCs w:val="false"/>
                <w:sz w:val="20"/>
                <w:szCs w:val="20"/>
              </w:rPr>
              <w:t xml:space="preserve">Relevant government agency, customer or contracting authority</w:t>
            </w:r>
          </w:p>
        </w:tc>
        <w:tc>
          <w:tcPr>
            <w:tcW w:type="dxa" w:w="3900"/>
            <w:tcMar>
              <w:top w:type="dxa" w:w="80"/>
              <w:left w:type="dxa" w:w="120"/>
              <w:bottom w:type="dxa" w:w="80"/>
              <w:right w:type="dxa" w:w="120"/>
            </w:tcMar>
          </w:tcPr>
          <w:p>
            <w:r>
              <w:rPr>
                <w:rFonts w:ascii="Calibri" w:cs="Calibri" w:eastAsia="Calibri" w:hAnsi="Calibri"/>
                <w:b w:val="false"/>
                <w:bCs w:val="false"/>
                <w:sz w:val="20"/>
                <w:szCs w:val="20"/>
              </w:rPr>
              <w:t xml:space="preserve">As stated in the applicable mandate, procurement document, contract or system-authorisation process.</w:t>
            </w:r>
          </w:p>
        </w:tc>
      </w:tr>
    </w:tbl>
    <w:p>
      <w:pPr>
        <w:pStyle w:val="Heading1"/>
        <w:spacing w:before="320"/>
      </w:pPr>
      <w:r>
        <w:rPr>
          <w:rFonts w:ascii="Calibri" w:cs="Calibri" w:eastAsia="Calibri" w:hAnsi="Calibri"/>
          <w:b/>
          <w:bCs/>
          <w:sz w:val="28"/>
          <w:szCs w:val="28"/>
        </w:rPr>
        <w:t xml:space="preserve">A note on scope</w:t>
      </w:r>
    </w:p>
    <w:p>
      <w:r>
        <w:rPr>
          <w:rFonts w:ascii="Calibri" w:cs="Calibri" w:eastAsia="Calibri" w:hAnsi="Calibri"/>
          <w:sz w:val="22"/>
          <w:szCs w:val="22"/>
        </w:rPr>
        <w:t xml:space="preserve">This template is a professionally drafted starting point and education, not legal advice and not a guarantee of compliance. Your obligations depend on your industry, your contracts and your data. Have a qualified adviser review the finished policy before you rely on it.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Security Policy — New Zealand template</dc:title>
  <dc:creator>SecurityPolicy.com.au</dc:creator>
  <dc:description>A practical 2026 New Zealand guide to information security policies, Privacy Act IPP 5 safeguards, access, cloud providers, employee monitoring and policy governance.</dc:description>
  <cp:lastModifiedBy>Un-named</cp:lastModifiedBy>
  <cp:revision>1</cp:revision>
  <dcterms:created xsi:type="dcterms:W3CDTF">2026-07-13T14:56:33.861Z</dcterms:created>
  <dcterms:modified xsi:type="dcterms:W3CDTF">2026-07-13T14:56:33.861Z</dcterms:modified>
</cp:coreProperties>
</file>

<file path=docProps/custom.xml><?xml version="1.0" encoding="utf-8"?>
<Properties xmlns="http://schemas.openxmlformats.org/officeDocument/2006/custom-properties" xmlns:vt="http://schemas.openxmlformats.org/officeDocument/2006/docPropsVTypes"/>
</file>