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rFonts w:ascii="Calibri" w:cs="Calibri" w:eastAsia="Calibri" w:hAnsi="Calibri"/>
          <w:b/>
          <w:bCs/>
          <w:sz w:val="52"/>
          <w:szCs w:val="52"/>
        </w:rPr>
        <w:t xml:space="preserve">Information Security Policy</w:t>
      </w:r>
    </w:p>
    <w:p>
      <w:pPr>
        <w:spacing w:after="240"/>
      </w:pPr>
      <w:r>
        <w:rPr>
          <w:rFonts w:ascii="Calibri" w:cs="Calibri" w:eastAsia="Calibri" w:hAnsi="Calibri"/>
          <w:color w:val="666666"/>
          <w:sz w:val="20"/>
          <w:szCs w:val="20"/>
        </w:rPr>
        <w:t xml:space="preserve">Australia edition · editable template · SecurityPolicy.com.au</w:t>
      </w:r>
    </w:p>
    <w:p>
      <w:pPr>
        <w:spacing w:after="240"/>
      </w:pPr>
      <w:r>
        <w:rPr>
          <w:rFonts w:ascii="Calibri" w:cs="Calibri" w:eastAsia="Calibri" w:hAnsi="Calibri"/>
          <w:sz w:val="22"/>
          <w:szCs w:val="22"/>
        </w:rPr>
        <w:t xml:space="preserve">This policy is adopted by </w:t>
      </w:r>
      <w:r>
        <w:rPr>
          <w:rFonts w:ascii="Calibri" w:cs="Calibri" w:eastAsia="Calibri" w:hAnsi="Calibri"/>
          <w:sz w:val="22"/>
          <w:szCs w:val="22"/>
          <w:highlight w:val="yellow"/>
          <w:highlightCs w:val="yellow"/>
        </w:rPr>
        <w:t xml:space="preserve">[organisation name]</w:t>
      </w:r>
      <w:r>
        <w:rPr>
          <w:rFonts w:ascii="Calibri" w:cs="Calibri" w:eastAsia="Calibri" w:hAnsi="Calibri"/>
          <w:sz w:val="22"/>
          <w:szCs w:val="22"/>
        </w:rPr>
        <w:t xml:space="preserve"> ("we", "us", "our").</w:t>
      </w:r>
    </w:p>
    <w:p>
      <w:pPr>
        <w:pStyle w:val="Heading1"/>
      </w:pPr>
      <w:r>
        <w:rPr>
          <w:rFonts w:ascii="Calibri" w:cs="Calibri" w:eastAsia="Calibri" w:hAnsi="Calibri"/>
          <w:b/>
          <w:bCs/>
          <w:sz w:val="28"/>
          <w:szCs w:val="28"/>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Policy owner</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[name and role]</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Approved by</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[owner, chief executive, board or delegated executive]</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Approval date</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[date]</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Next review</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[date, normally within 12 months]</w:t>
            </w:r>
          </w:p>
        </w:tc>
      </w:tr>
      <w:tr>
        <w:tc>
          <w:tcPr>
            <w:tcW w:type="dxa" w:w="2600"/>
            <w:shd w:fill="F4F5F7" w:val="clear"/>
            <w:tcMar>
              <w:top w:type="dxa" w:w="80"/>
              <w:left w:type="dxa" w:w="120"/>
              <w:bottom w:type="dxa" w:w="80"/>
              <w:right w:type="dxa" w:w="120"/>
            </w:tcMar>
          </w:tcPr>
          <w:p>
            <w:r>
              <w:rPr>
                <w:rFonts w:ascii="Calibri" w:cs="Calibri" w:eastAsia="Calibri" w:hAnsi="Calibri"/>
                <w:b/>
                <w:bCs/>
                <w:sz w:val="20"/>
                <w:szCs w:val="20"/>
              </w:rPr>
              <w:t xml:space="preserve">Version</w:t>
            </w:r>
          </w:p>
        </w:tc>
        <w:tc>
          <w:tcPr>
            <w:tcW w:type="dxa" w:w="6760"/>
            <w:tcMar>
              <w:top w:type="dxa" w:w="80"/>
              <w:left w:type="dxa" w:w="120"/>
              <w:bottom w:type="dxa" w:w="80"/>
              <w:right w:type="dxa" w:w="120"/>
            </w:tcMar>
          </w:tcPr>
          <w:p>
            <w:r>
              <w:rPr>
                <w:rFonts w:ascii="Calibri" w:cs="Calibri" w:eastAsia="Calibri" w:hAnsi="Calibri"/>
                <w:sz w:val="20"/>
                <w:szCs w:val="20"/>
                <w:highlight w:val="yellow"/>
                <w:highlightCs w:val="yellow"/>
              </w:rPr>
              <w:t xml:space="preserve">[1.0]</w:t>
            </w:r>
          </w:p>
        </w:tc>
      </w:tr>
    </w:tbl>
    <w:p>
      <w:pPr>
        <w:pStyle w:val="Heading1"/>
        <w:spacing w:before="320"/>
      </w:pPr>
      <w:r>
        <w:rPr>
          <w:rFonts w:ascii="Calibri" w:cs="Calibri" w:eastAsia="Calibri" w:hAnsi="Calibri"/>
          <w:b/>
          <w:bCs/>
          <w:sz w:val="28"/>
          <w:szCs w:val="28"/>
        </w:rPr>
        <w:t xml:space="preserve">How to complete this template</w:t>
      </w:r>
    </w:p>
    <w:p>
      <w:pPr>
        <w:spacing w:after="240"/>
      </w:pPr>
      <w:r>
        <w:rPr>
          <w:rFonts w:ascii="Calibri" w:cs="Calibri" w:eastAsia="Calibri" w:hAnsi="Calibri"/>
          <w:sz w:val="22"/>
          <w:szCs w:val="22"/>
        </w:rPr>
        <w:t xml:space="preserve">Work top to bottom and fill every yellow field. Delete any clause that does not reflect how your business actually operates — an auditor will ask you to demonstrate each claim. The full plain-English guide for every clause, with sources, lives at securitypolicy.com.au.</w:t>
      </w:r>
    </w:p>
    <w:p>
      <w:pPr>
        <w:pStyle w:val="Heading1"/>
      </w:pPr>
      <w:r>
        <w:rPr>
          <w:rFonts w:ascii="Calibri" w:cs="Calibri" w:eastAsia="Calibri" w:hAnsi="Calibri"/>
          <w:b/>
          <w:bCs/>
          <w:sz w:val="28"/>
          <w:szCs w:val="28"/>
        </w:rPr>
        <w:t xml:space="preserve">Policy</w:t>
      </w:r>
    </w:p>
    <w:p>
      <w:pPr>
        <w:pStyle w:val="Heading2"/>
        <w:spacing w:before="280"/>
      </w:pPr>
      <w:r>
        <w:rPr>
          <w:rFonts w:ascii="Calibri" w:cs="Calibri" w:eastAsia="Calibri" w:hAnsi="Calibri"/>
          <w:b/>
          <w:bCs/>
          <w:sz w:val="24"/>
          <w:szCs w:val="24"/>
        </w:rPr>
        <w:t xml:space="preserve">1. Purpose</w:t>
      </w:r>
    </w:p>
    <w:p>
      <w:pPr>
        <w:spacing w:after="120"/>
      </w:pPr>
      <w:r>
        <w:rPr>
          <w:rFonts w:ascii="Calibri" w:cs="Calibri" w:eastAsia="Calibri" w:hAnsi="Calibri"/>
          <w:i/>
          <w:iCs/>
          <w:color w:val="666666"/>
          <w:sz w:val="18"/>
          <w:szCs w:val="18"/>
        </w:rPr>
        <w:t xml:space="preserve">Drafted to answer: What is an information security policy, and does my business actually need one?</w:t>
      </w:r>
    </w:p>
    <w:p>
      <w:pPr>
        <w:spacing w:after="160"/>
      </w:pPr>
      <w:r>
        <w:rPr>
          <w:rFonts w:ascii="Calibri" w:cs="Calibri" w:eastAsia="Calibri" w:hAnsi="Calibri"/>
          <w:sz w:val="22"/>
          <w:szCs w:val="22"/>
        </w:rPr>
        <w:t xml:space="preserve">This policy establishes the principles, responsibilities and mandatory requirements for protecting the confidentiality, integrity and availability of the organisation's information, systems and services. It applies to all workers, contractors, suppliers, information formats, locations and technologies within the approved scope.</w:t>
      </w:r>
    </w:p>
    <w:p>
      <w:pPr>
        <w:pStyle w:val="Heading2"/>
        <w:spacing w:before="280"/>
      </w:pPr>
      <w:r>
        <w:rPr>
          <w:rFonts w:ascii="Calibri" w:cs="Calibri" w:eastAsia="Calibri" w:hAnsi="Calibri"/>
          <w:b/>
          <w:bCs/>
          <w:sz w:val="24"/>
          <w:szCs w:val="24"/>
        </w:rPr>
        <w:t xml:space="preserve">2. Policy contents</w:t>
      </w:r>
    </w:p>
    <w:p>
      <w:pPr>
        <w:spacing w:after="120"/>
      </w:pPr>
      <w:r>
        <w:rPr>
          <w:rFonts w:ascii="Calibri" w:cs="Calibri" w:eastAsia="Calibri" w:hAnsi="Calibri"/>
          <w:i/>
          <w:iCs/>
          <w:color w:val="666666"/>
          <w:sz w:val="18"/>
          <w:szCs w:val="18"/>
        </w:rPr>
        <w:t xml:space="preserve">Drafted to answer: What must it contain — the non-negotiable sections?</w:t>
      </w:r>
    </w:p>
    <w:p>
      <w:pPr>
        <w:spacing w:after="160"/>
      </w:pPr>
      <w:r>
        <w:rPr>
          <w:rFonts w:ascii="Calibri" w:cs="Calibri" w:eastAsia="Calibri" w:hAnsi="Calibri"/>
          <w:sz w:val="22"/>
          <w:szCs w:val="22"/>
        </w:rPr>
        <w:t xml:space="preserve">This policy must define its purpose, scope, information and systems covered, governing principles, roles, mandatory control outcomes, approved exceptions, incident escalation, compliance evidence, document owner, approval authority, effective date and review triggers. Detailed control requirements and operating steps are maintained in linked standards, sub-policies, plans and procedures.</w:t>
      </w:r>
    </w:p>
    <w:p>
      <w:pPr>
        <w:pStyle w:val="Heading2"/>
        <w:spacing w:before="280"/>
      </w:pPr>
      <w:r>
        <w:rPr>
          <w:rFonts w:ascii="Calibri" w:cs="Calibri" w:eastAsia="Calibri" w:hAnsi="Calibri"/>
          <w:b/>
          <w:bCs/>
          <w:sz w:val="24"/>
          <w:szCs w:val="24"/>
        </w:rPr>
        <w:t xml:space="preserve">3. Legal and framework obligations</w:t>
      </w:r>
    </w:p>
    <w:p>
      <w:pPr>
        <w:spacing w:after="120"/>
      </w:pPr>
      <w:r>
        <w:rPr>
          <w:rFonts w:ascii="Calibri" w:cs="Calibri" w:eastAsia="Calibri" w:hAnsi="Calibri"/>
          <w:i/>
          <w:iCs/>
          <w:color w:val="666666"/>
          <w:sz w:val="18"/>
          <w:szCs w:val="18"/>
        </w:rPr>
        <w:t xml:space="preserve">Drafted to answer: What does the law or a framework require here?</w:t>
      </w:r>
    </w:p>
    <w:p>
      <w:pPr>
        <w:spacing w:after="160"/>
      </w:pPr>
      <w:r>
        <w:rPr>
          <w:rFonts w:ascii="Calibri" w:cs="Calibri" w:eastAsia="Calibri" w:hAnsi="Calibri"/>
          <w:sz w:val="22"/>
          <w:szCs w:val="22"/>
        </w:rPr>
        <w:t xml:space="preserve">The organisation must identify and maintain all security obligations arising from law, regulation, contract and adopted frameworks. This policy does not replace those requirements. Where an external framework is adopted, its scope, version, target level, exceptions, evidence and assurance requirements must be recorded in the obligations register.</w:t>
      </w:r>
    </w:p>
    <w:p>
      <w:pPr>
        <w:pStyle w:val="Heading2"/>
        <w:spacing w:before="280"/>
      </w:pPr>
      <w:r>
        <w:rPr>
          <w:rFonts w:ascii="Calibri" w:cs="Calibri" w:eastAsia="Calibri" w:hAnsi="Calibri"/>
          <w:b/>
          <w:bCs/>
          <w:sz w:val="24"/>
          <w:szCs w:val="24"/>
        </w:rPr>
        <w:t xml:space="preserve">4. Ownership and approval</w:t>
      </w:r>
    </w:p>
    <w:p>
      <w:pPr>
        <w:spacing w:after="120"/>
      </w:pPr>
      <w:r>
        <w:rPr>
          <w:rFonts w:ascii="Calibri" w:cs="Calibri" w:eastAsia="Calibri" w:hAnsi="Calibri"/>
          <w:i/>
          <w:iCs/>
          <w:color w:val="666666"/>
          <w:sz w:val="18"/>
          <w:szCs w:val="18"/>
        </w:rPr>
        <w:t xml:space="preserve">Drafted to answer: Who owns it, and who has to sign it off?</w:t>
      </w:r>
    </w:p>
    <w:p>
      <w:pPr>
        <w:spacing w:after="160"/>
      </w:pPr>
      <w:r>
        <w:rPr>
          <w:rFonts w:ascii="Calibri" w:cs="Calibri" w:eastAsia="Calibri" w:hAnsi="Calibri"/>
          <w:sz w:val="22"/>
          <w:szCs w:val="22"/>
        </w:rPr>
        <w:t xml:space="preserve">The governing body and senior management retain accountability for information security risk. The Policy Owner maintains this document, nominated Control Owners implement and evidence its requirements, and the approving authority accepts the policy's scope, priorities, exceptions and residual risks. Outsourcing does not transfer the organisation's accountability.</w:t>
      </w:r>
    </w:p>
    <w:p>
      <w:pPr>
        <w:pStyle w:val="Heading2"/>
        <w:spacing w:before="280"/>
      </w:pPr>
      <w:r>
        <w:rPr>
          <w:rFonts w:ascii="Calibri" w:cs="Calibri" w:eastAsia="Calibri" w:hAnsi="Calibri"/>
          <w:b/>
          <w:bCs/>
          <w:sz w:val="24"/>
          <w:szCs w:val="24"/>
        </w:rPr>
        <w:t xml:space="preserve">5. Communication and use</w:t>
      </w:r>
    </w:p>
    <w:p>
      <w:pPr>
        <w:spacing w:after="120"/>
      </w:pPr>
      <w:r>
        <w:rPr>
          <w:rFonts w:ascii="Calibri" w:cs="Calibri" w:eastAsia="Calibri" w:hAnsi="Calibri"/>
          <w:i/>
          <w:iCs/>
          <w:color w:val="666666"/>
          <w:sz w:val="18"/>
          <w:szCs w:val="18"/>
        </w:rPr>
        <w:t xml:space="preserve">Drafted to answer: How does it actually get used by the team?</w:t>
      </w:r>
    </w:p>
    <w:p>
      <w:pPr>
        <w:spacing w:after="160"/>
      </w:pPr>
      <w:r>
        <w:rPr>
          <w:rFonts w:ascii="Calibri" w:cs="Calibri" w:eastAsia="Calibri" w:hAnsi="Calibri"/>
          <w:sz w:val="22"/>
          <w:szCs w:val="22"/>
        </w:rPr>
        <w:t xml:space="preserve">All personnel must receive security requirements relevant to their role, know where the current policy and procedures are located, complete required training, report suspected incidents promptly and request approval before departing from a requirement. Managers must reinforce the policy and must not direct personnel to bypass approved controls.</w:t>
      </w:r>
    </w:p>
    <w:p>
      <w:pPr>
        <w:pStyle w:val="Heading2"/>
        <w:spacing w:before="280"/>
      </w:pPr>
      <w:r>
        <w:rPr>
          <w:rFonts w:ascii="Calibri" w:cs="Calibri" w:eastAsia="Calibri" w:hAnsi="Calibri"/>
          <w:b/>
          <w:bCs/>
          <w:sz w:val="24"/>
          <w:szCs w:val="24"/>
        </w:rPr>
        <w:t xml:space="preserve">6. Evidence</w:t>
      </w:r>
    </w:p>
    <w:p>
      <w:pPr>
        <w:spacing w:after="120"/>
      </w:pPr>
      <w:r>
        <w:rPr>
          <w:rFonts w:ascii="Calibri" w:cs="Calibri" w:eastAsia="Calibri" w:hAnsi="Calibri"/>
          <w:i/>
          <w:iCs/>
          <w:color w:val="666666"/>
          <w:sz w:val="18"/>
          <w:szCs w:val="18"/>
        </w:rPr>
        <w:t xml:space="preserve">Drafted to answer: What evidence proves it's real to an auditor or insurer?</w:t>
      </w:r>
    </w:p>
    <w:p>
      <w:pPr>
        <w:spacing w:after="160"/>
      </w:pPr>
      <w:r>
        <w:rPr>
          <w:rFonts w:ascii="Calibri" w:cs="Calibri" w:eastAsia="Calibri" w:hAnsi="Calibri"/>
          <w:sz w:val="22"/>
          <w:szCs w:val="22"/>
        </w:rPr>
        <w:t xml:space="preserve">Every mandatory requirement must have a nominated Control Owner and an evidence source showing its implementation and effectiveness. Evidence must identify the relevant systems, people, suppliers, collection date, review frequency and retention location. Gaps and exceptions must be recorded with accountable remediation actions and due dates.</w:t>
      </w:r>
    </w:p>
    <w:p>
      <w:pPr>
        <w:pStyle w:val="Heading2"/>
        <w:spacing w:before="280"/>
      </w:pPr>
      <w:r>
        <w:rPr>
          <w:rFonts w:ascii="Calibri" w:cs="Calibri" w:eastAsia="Calibri" w:hAnsi="Calibri"/>
          <w:b/>
          <w:bCs/>
          <w:sz w:val="24"/>
          <w:szCs w:val="24"/>
        </w:rPr>
        <w:t xml:space="preserve">7. Review</w:t>
      </w:r>
    </w:p>
    <w:p>
      <w:pPr>
        <w:spacing w:after="120"/>
      </w:pPr>
      <w:r>
        <w:rPr>
          <w:rFonts w:ascii="Calibri" w:cs="Calibri" w:eastAsia="Calibri" w:hAnsi="Calibri"/>
          <w:i/>
          <w:iCs/>
          <w:color w:val="666666"/>
          <w:sz w:val="18"/>
          <w:szCs w:val="18"/>
        </w:rPr>
        <w:t xml:space="preserve">Drafted to answer: How often must it be reviewed — and what triggers an off-cycle review?</w:t>
      </w:r>
    </w:p>
    <w:p>
      <w:pPr>
        <w:spacing w:after="160"/>
      </w:pPr>
      <w:r>
        <w:rPr>
          <w:rFonts w:ascii="Calibri" w:cs="Calibri" w:eastAsia="Calibri" w:hAnsi="Calibri"/>
          <w:sz w:val="22"/>
          <w:szCs w:val="22"/>
        </w:rPr>
        <w:t xml:space="preserve">This policy is reviewed at least annually and whenever there is a material incident, legal or framework change, audit finding, control failure, organisational restructure, new technology, major system change, significant supplier change or evidence that a requirement is unclear or ineffective. Each review must be recorded, including reviews that result in no amendment.</w:t>
      </w:r>
    </w:p>
    <w:p>
      <w:pPr>
        <w:pStyle w:val="Heading2"/>
        <w:spacing w:before="280"/>
      </w:pPr>
      <w:r>
        <w:rPr>
          <w:rFonts w:ascii="Calibri" w:cs="Calibri" w:eastAsia="Calibri" w:hAnsi="Calibri"/>
          <w:b/>
          <w:bCs/>
          <w:sz w:val="24"/>
          <w:szCs w:val="24"/>
        </w:rPr>
        <w:t xml:space="preserve">8. Document hierarchy</w:t>
      </w:r>
    </w:p>
    <w:p>
      <w:pPr>
        <w:spacing w:after="120"/>
      </w:pPr>
      <w:r>
        <w:rPr>
          <w:rFonts w:ascii="Calibri" w:cs="Calibri" w:eastAsia="Calibri" w:hAnsi="Calibri"/>
          <w:i/>
          <w:iCs/>
          <w:color w:val="666666"/>
          <w:sz w:val="18"/>
          <w:szCs w:val="18"/>
        </w:rPr>
        <w:t xml:space="preserve">Drafted to answer: How does it relate to the sub-policies (access control, acceptable use, incident response)?</w:t>
      </w:r>
    </w:p>
    <w:p>
      <w:pPr>
        <w:spacing w:after="160"/>
      </w:pPr>
      <w:r>
        <w:rPr>
          <w:rFonts w:ascii="Calibri" w:cs="Calibri" w:eastAsia="Calibri" w:hAnsi="Calibri"/>
          <w:sz w:val="22"/>
          <w:szCs w:val="22"/>
        </w:rPr>
        <w:t xml:space="preserve">This policy sets organisation-wide security direction and authority. Supporting policies and standards define mandatory topic-specific requirements. Procedures and plans define approved operating steps. Registers and records provide evidence. Where documents conflict, the higher-authority document applies and the conflict must be escalated to the Policy Owner for correction.</w:t>
      </w:r>
    </w:p>
    <w:p>
      <w:pPr>
        <w:pStyle w:val="Heading2"/>
        <w:spacing w:before="280"/>
      </w:pPr>
      <w:r>
        <w:rPr>
          <w:rFonts w:ascii="Calibri" w:cs="Calibri" w:eastAsia="Calibri" w:hAnsi="Calibri"/>
          <w:b/>
          <w:bCs/>
          <w:sz w:val="24"/>
          <w:szCs w:val="24"/>
        </w:rPr>
        <w:t xml:space="preserve">9. Control quality</w:t>
      </w:r>
    </w:p>
    <w:p>
      <w:pPr>
        <w:spacing w:after="120"/>
      </w:pPr>
      <w:r>
        <w:rPr>
          <w:rFonts w:ascii="Calibri" w:cs="Calibri" w:eastAsia="Calibri" w:hAnsi="Calibri"/>
          <w:i/>
          <w:iCs/>
          <w:color w:val="666666"/>
          <w:sz w:val="18"/>
          <w:szCs w:val="18"/>
        </w:rPr>
        <w:t xml:space="preserve">Drafted to answer: The common gaps and red flags?</w:t>
      </w:r>
    </w:p>
    <w:p>
      <w:pPr>
        <w:spacing w:after="160"/>
      </w:pPr>
      <w:r>
        <w:rPr>
          <w:rFonts w:ascii="Calibri" w:cs="Calibri" w:eastAsia="Calibri" w:hAnsi="Calibri"/>
          <w:sz w:val="22"/>
          <w:szCs w:val="22"/>
        </w:rPr>
        <w:t xml:space="preserve">Security requirements must be lawful, proportionate, technically achievable and consistent with approved business processes. A requirement that cannot be followed, evidenced or enforced must be corrected or managed through a documented exception. Staff must report contradictory, obsolete or impractical requirements without fear of retaliation.</w:t>
      </w:r>
    </w:p>
    <w:p>
      <w:pPr>
        <w:pStyle w:val="Heading1"/>
        <w:spacing w:before="320"/>
      </w:pPr>
      <w:r>
        <w:rPr>
          <w:rFonts w:ascii="Calibri" w:cs="Calibri" w:eastAsia="Calibri" w:hAnsi="Calibri"/>
          <w:b/>
          <w:bCs/>
          <w:sz w:val="28"/>
          <w:szCs w:val="28"/>
        </w:rPr>
        <w:t xml:space="preserve">Schedule: obligations this policy supports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3900"/>
      </w:tblGrid>
      <w:tr>
        <w:tc>
          <w:tcPr>
            <w:tcW w:type="dxa" w:w="3120"/>
            <w:shd w:fill="F4F5F7" w:val="clear"/>
            <w:tcMar>
              <w:top w:type="dxa" w:w="80"/>
              <w:left w:type="dxa" w:w="120"/>
              <w:bottom w:type="dxa" w:w="80"/>
              <w:right w:type="dxa" w:w="120"/>
            </w:tcMar>
          </w:tcPr>
          <w:p>
            <w:r>
              <w:rPr>
                <w:rFonts w:ascii="Calibri" w:cs="Calibri" w:eastAsia="Calibri" w:hAnsi="Calibri"/>
                <w:b/>
                <w:bCs/>
                <w:sz w:val="20"/>
                <w:szCs w:val="20"/>
              </w:rPr>
              <w:t xml:space="preserve">Obligation</w:t>
            </w:r>
          </w:p>
        </w:tc>
        <w:tc>
          <w:tcPr>
            <w:tcW w:type="dxa" w:w="2340"/>
            <w:shd w:fill="F4F5F7" w:val="clear"/>
            <w:tcMar>
              <w:top w:type="dxa" w:w="80"/>
              <w:left w:type="dxa" w:w="120"/>
              <w:bottom w:type="dxa" w:w="80"/>
              <w:right w:type="dxa" w:w="120"/>
            </w:tcMar>
          </w:tcPr>
          <w:p>
            <w:r>
              <w:rPr>
                <w:rFonts w:ascii="Calibri" w:cs="Calibri" w:eastAsia="Calibri" w:hAnsi="Calibri"/>
                <w:b/>
                <w:bCs/>
                <w:sz w:val="20"/>
                <w:szCs w:val="20"/>
              </w:rPr>
              <w:t xml:space="preserve">Regulator</w:t>
            </w:r>
          </w:p>
        </w:tc>
        <w:tc>
          <w:tcPr>
            <w:tcW w:type="dxa" w:w="3900"/>
            <w:shd w:fill="F4F5F7" w:val="clear"/>
            <w:tcMar>
              <w:top w:type="dxa" w:w="80"/>
              <w:left w:type="dxa" w:w="120"/>
              <w:bottom w:type="dxa" w:w="80"/>
              <w:right w:type="dxa" w:w="120"/>
            </w:tcMar>
          </w:tcPr>
          <w:p>
            <w:r>
              <w:rPr>
                <w:rFonts w:ascii="Calibri" w:cs="Calibri" w:eastAsia="Calibri" w:hAnsi="Calibri"/>
                <w:b/>
                <w:bCs/>
                <w:sz w:val="20"/>
                <w:szCs w:val="20"/>
              </w:rPr>
              <w:t xml:space="preserve">Timeframe</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APP 11 security of personal information</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Australian Information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Ongoing throughout the information lifecycle; take reasonable technical and organisational security measures and destroy or de-identify information when no longer needed, subject to lawful-retention exceptions.</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Privacy Act organisational coverage</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Australian Information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Assess on establishment, at least annually and whenever turnover, services, contracts or regulated activities change.</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Notifiable Data Breaches scheme</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Office of the Australian Information Commissioner</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Take all reasonable steps to complete the suspected-breach assessment within 30 calendar days; notify the OAIC and affected individuals as soon as practicable once an eligible breach is established.</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ISM cyber security documentation controls</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Australian Signals Directorate or the authority making the ISM requirement binding</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Under current ISM guidance, documentation is reviewed at least annually, carries a current-as-at date, receives appropriate approval and is communicated to stakeholders.</w:t>
            </w:r>
          </w:p>
        </w:tc>
      </w:tr>
      <w:tr>
        <w:tc>
          <w:tcPr>
            <w:tcW w:type="dxa" w:w="3120"/>
            <w:tcMar>
              <w:top w:type="dxa" w:w="80"/>
              <w:left w:type="dxa" w:w="120"/>
              <w:bottom w:type="dxa" w:w="80"/>
              <w:right w:type="dxa" w:w="120"/>
            </w:tcMar>
          </w:tcPr>
          <w:p>
            <w:r>
              <w:rPr>
                <w:rFonts w:ascii="Calibri" w:cs="Calibri" w:eastAsia="Calibri" w:hAnsi="Calibri"/>
                <w:b w:val="false"/>
                <w:bCs w:val="false"/>
                <w:sz w:val="20"/>
                <w:szCs w:val="20"/>
              </w:rPr>
              <w:t xml:space="preserve">Essential Eight target and exception governance</w:t>
            </w:r>
          </w:p>
        </w:tc>
        <w:tc>
          <w:tcPr>
            <w:tcW w:type="dxa" w:w="2340"/>
            <w:tcMar>
              <w:top w:type="dxa" w:w="80"/>
              <w:left w:type="dxa" w:w="120"/>
              <w:bottom w:type="dxa" w:w="80"/>
              <w:right w:type="dxa" w:w="120"/>
            </w:tcMar>
          </w:tcPr>
          <w:p>
            <w:r>
              <w:rPr>
                <w:rFonts w:ascii="Calibri" w:cs="Calibri" w:eastAsia="Calibri" w:hAnsi="Calibri"/>
                <w:b w:val="false"/>
                <w:bCs w:val="false"/>
                <w:sz w:val="20"/>
                <w:szCs w:val="20"/>
              </w:rPr>
              <w:t xml:space="preserve">Australian Signals Directorate or the customer, regulator or authority requiring the target</w:t>
            </w:r>
          </w:p>
        </w:tc>
        <w:tc>
          <w:tcPr>
            <w:tcW w:type="dxa" w:w="3900"/>
            <w:tcMar>
              <w:top w:type="dxa" w:w="80"/>
              <w:left w:type="dxa" w:w="120"/>
              <w:bottom w:type="dxa" w:w="80"/>
              <w:right w:type="dxa" w:w="120"/>
            </w:tcMar>
          </w:tcPr>
          <w:p>
            <w:r>
              <w:rPr>
                <w:rFonts w:ascii="Calibri" w:cs="Calibri" w:eastAsia="Calibri" w:hAnsi="Calibri"/>
                <w:b w:val="false"/>
                <w:bCs w:val="false"/>
                <w:sz w:val="20"/>
                <w:szCs w:val="20"/>
              </w:rPr>
              <w:t xml:space="preserve">Progressively implement the target maturity level across all eight strategies; document, approve and regularly review exceptions and compensating controls.</w:t>
            </w:r>
          </w:p>
        </w:tc>
      </w:tr>
    </w:tbl>
    <w:p>
      <w:pPr>
        <w:pStyle w:val="Heading1"/>
        <w:spacing w:before="320"/>
      </w:pPr>
      <w:r>
        <w:rPr>
          <w:rFonts w:ascii="Calibri" w:cs="Calibri" w:eastAsia="Calibri" w:hAnsi="Calibri"/>
          <w:b/>
          <w:bCs/>
          <w:sz w:val="28"/>
          <w:szCs w:val="28"/>
        </w:rPr>
        <w:t xml:space="preserve">A note on scope</w:t>
      </w:r>
    </w:p>
    <w:p>
      <w:r>
        <w:rPr>
          <w:rFonts w:ascii="Calibri" w:cs="Calibri" w:eastAsia="Calibri" w:hAnsi="Calibri"/>
          <w:sz w:val="22"/>
          <w:szCs w:val="22"/>
        </w:rPr>
        <w:t xml:space="preserve">This template is a professionally drafted starting point and education, not legal advice and not a guarantee of compliance. Your obligations depend on your industry, your contracts and your data. Have a qualified adviser review the finished policy before you rely on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 — Australia template</dc:title>
  <dc:creator>SecurityPolicy.com.au</dc:creator>
  <dc:description>Australian guidance on information security policies, APP 11, the ISM, Essential Eight, sub-policies, evidence, ownership and review.</dc:description>
  <cp:lastModifiedBy>Un-named</cp:lastModifiedBy>
  <cp:revision>1</cp:revision>
  <dcterms:created xsi:type="dcterms:W3CDTF">2026-07-13T14:56:33.729Z</dcterms:created>
  <dcterms:modified xsi:type="dcterms:W3CDTF">2026-07-13T14:56:33.730Z</dcterms:modified>
</cp:coreProperties>
</file>

<file path=docProps/custom.xml><?xml version="1.0" encoding="utf-8"?>
<Properties xmlns="http://schemas.openxmlformats.org/officeDocument/2006/custom-properties" xmlns:vt="http://schemas.openxmlformats.org/officeDocument/2006/docPropsVTypes"/>
</file>